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eastAsia="Arial"/>
          <w:b/>
          <w:i w:val="0"/>
          <w:color w:val="1F3A68"/>
          <w:sz w:val="40"/>
        </w:rPr>
        <w:t>Рабочий список кредиторов для банкротства через МФЦ</w:t>
      </w:r>
    </w:p>
    <w:p>
      <w:pPr>
        <w:spacing w:after="280"/>
      </w:pPr>
      <w:r>
        <w:rPr>
          <w:rFonts w:ascii="Arial" w:hAnsi="Arial" w:eastAsia="Arial"/>
          <w:b w:val="0"/>
          <w:i w:val="0"/>
          <w:color w:val="6B7280"/>
          <w:sz w:val="21"/>
        </w:rPr>
        <w:t>Черновик для сбора сведений перед переносом в официальную форму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4FB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3A68"/>
                <w:sz w:val="20"/>
              </w:rPr>
              <w:t xml:space="preserve">Назначение: </w:t>
            </w:r>
            <w:r>
              <w:rPr>
                <w:rFonts w:ascii="Arial" w:hAnsi="Arial" w:eastAsia="Arial"/>
                <w:b w:val="0"/>
                <w:i w:val="0"/>
                <w:color w:val="1F3A68"/>
                <w:sz w:val="20"/>
              </w:rPr>
              <w:t>Заполните этот рабочий лист по документам, затем перенесите данные в официальную форму списка кредиторов и должников гражданина по приказу Минэкономразвития России № 530.</w:t>
            </w:r>
          </w:p>
        </w:tc>
      </w:tr>
    </w:tbl>
    <w:p>
      <w:pPr>
        <w:spacing w:after="0"/>
      </w:pPr>
    </w:p>
    <w:p>
      <w:pPr>
        <w:pStyle w:val="Heading1"/>
      </w:pPr>
      <w:r>
        <w:t>Сведения о гражданине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B"/>
          </w:tcPr>
          <w:p>
            <w:r>
              <w:rPr>
                <w:rFonts w:ascii="Arial" w:hAnsi="Arial" w:eastAsia="Arial"/>
                <w:b/>
                <w:i w:val="0"/>
                <w:color w:val="1F3A68"/>
                <w:sz w:val="19"/>
              </w:rPr>
              <w:t>Ф.И.О.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B728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B"/>
          </w:tcPr>
          <w:p>
            <w:r>
              <w:rPr>
                <w:rFonts w:ascii="Arial" w:hAnsi="Arial" w:eastAsia="Arial"/>
                <w:b/>
                <w:i w:val="0"/>
                <w:color w:val="1F3A68"/>
                <w:sz w:val="19"/>
              </w:rPr>
              <w:t>Дата и место рождения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B728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B"/>
          </w:tcPr>
          <w:p>
            <w:r>
              <w:rPr>
                <w:rFonts w:ascii="Arial" w:hAnsi="Arial" w:eastAsia="Arial"/>
                <w:b/>
                <w:i w:val="0"/>
                <w:color w:val="1F3A68"/>
                <w:sz w:val="19"/>
              </w:rPr>
              <w:t>СНИЛС / ИНН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B728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B"/>
          </w:tcPr>
          <w:p>
            <w:r>
              <w:rPr>
                <w:rFonts w:ascii="Arial" w:hAnsi="Arial" w:eastAsia="Arial"/>
                <w:b/>
                <w:i w:val="0"/>
                <w:color w:val="1F3A68"/>
                <w:sz w:val="19"/>
              </w:rPr>
              <w:t>Адрес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B7280"/>
                <w:sz w:val="19"/>
              </w:rPr>
              <w:t>____________________________________________</w:t>
            </w:r>
          </w:p>
        </w:tc>
      </w:tr>
    </w:tbl>
    <w:p>
      <w:pPr>
        <w:pStyle w:val="Heading1"/>
      </w:pPr>
      <w:r>
        <w:t>Денежные обязательства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397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№</w:t>
            </w:r>
          </w:p>
        </w:tc>
        <w:tc>
          <w:tcPr>
            <w:tcW w:type="dxa" w:w="1531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Кредитор</w:t>
            </w:r>
          </w:p>
        </w:tc>
        <w:tc>
          <w:tcPr>
            <w:tcW w:type="dxa" w:w="1587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Адрес / ИНН</w:t>
            </w:r>
          </w:p>
        </w:tc>
        <w:tc>
          <w:tcPr>
            <w:tcW w:type="dxa" w:w="1928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Основание</w:t>
            </w:r>
          </w:p>
        </w:tc>
        <w:tc>
          <w:tcPr>
            <w:tcW w:type="dxa" w:w="1247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Основной долг</w:t>
            </w:r>
          </w:p>
        </w:tc>
        <w:tc>
          <w:tcPr>
            <w:tcW w:type="dxa" w:w="1417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Проценты и санкции</w:t>
            </w:r>
          </w:p>
        </w:tc>
        <w:tc>
          <w:tcPr>
            <w:tcW w:type="dxa" w:w="1134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Итого</w:t>
            </w:r>
          </w:p>
        </w:tc>
      </w:tr>
      <w:tr>
        <w:tc>
          <w:tcPr>
            <w:tcW w:type="dxa" w:w="39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1</w:t>
            </w:r>
          </w:p>
        </w:tc>
        <w:tc>
          <w:tcPr>
            <w:tcW w:type="dxa" w:w="153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5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3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39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2</w:t>
            </w:r>
          </w:p>
        </w:tc>
        <w:tc>
          <w:tcPr>
            <w:tcW w:type="dxa" w:w="153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5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3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39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3</w:t>
            </w:r>
          </w:p>
        </w:tc>
        <w:tc>
          <w:tcPr>
            <w:tcW w:type="dxa" w:w="153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5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3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39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4</w:t>
            </w:r>
          </w:p>
        </w:tc>
        <w:tc>
          <w:tcPr>
            <w:tcW w:type="dxa" w:w="153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5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3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39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5</w:t>
            </w:r>
          </w:p>
        </w:tc>
        <w:tc>
          <w:tcPr>
            <w:tcW w:type="dxa" w:w="153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5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3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39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6</w:t>
            </w:r>
          </w:p>
        </w:tc>
        <w:tc>
          <w:tcPr>
            <w:tcW w:type="dxa" w:w="153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5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3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39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7</w:t>
            </w:r>
          </w:p>
        </w:tc>
        <w:tc>
          <w:tcPr>
            <w:tcW w:type="dxa" w:w="153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5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3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39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8</w:t>
            </w:r>
          </w:p>
        </w:tc>
        <w:tc>
          <w:tcPr>
            <w:tcW w:type="dxa" w:w="153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5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3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</w:tbl>
    <w:p>
      <w:pPr>
        <w:pStyle w:val="Heading1"/>
      </w:pPr>
      <w:r>
        <w:t>Обязательные платежи и иные долги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454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№</w:t>
            </w:r>
          </w:p>
        </w:tc>
        <w:tc>
          <w:tcPr>
            <w:tcW w:type="dxa" w:w="1928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Вид долга</w:t>
            </w:r>
          </w:p>
        </w:tc>
        <w:tc>
          <w:tcPr>
            <w:tcW w:type="dxa" w:w="2381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Получатель / взыскатель</w:t>
            </w:r>
          </w:p>
        </w:tc>
        <w:tc>
          <w:tcPr>
            <w:tcW w:type="dxa" w:w="3061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Основание и период</w:t>
            </w:r>
          </w:p>
        </w:tc>
        <w:tc>
          <w:tcPr>
            <w:tcW w:type="dxa" w:w="1814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Сумма</w:t>
            </w:r>
          </w:p>
        </w:tc>
      </w:tr>
      <w:tr>
        <w:tc>
          <w:tcPr>
            <w:tcW w:type="dxa" w:w="4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1</w:t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306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4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2</w:t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306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4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3</w:t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306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4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4</w:t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306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4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5</w:t>
            </w:r>
          </w:p>
        </w:tc>
        <w:tc>
          <w:tcPr>
            <w:tcW w:type="dxa" w:w="19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306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</w:tbl>
    <w:p>
      <w:pPr>
        <w:pStyle w:val="Heading1"/>
      </w:pPr>
      <w:r>
        <w:t>Контроль перед переносом в официальную форму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Сверил каждого кредитора с договором, судебным актом, личным кабинетом или справкой о задолженности.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Проверил адрес и идентификаторы кредитора; не подменял юридическое лицо названием мобильного приложения или бренда.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Не исключал долг только потому, что по нему нет открытого производства ФССП.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Проверил общую сумму обязательств для определения диапазона 25 000–1 000 000 рублей.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6B7280"/>
        <w:sz w:val="16"/>
      </w:rPr>
      <w:t>Справочный материал • info@politsaev.ru • +7 (929) 269-17-37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eastAsia="Arial"/>
        <w:b w:val="0"/>
        <w:i w:val="0"/>
        <w:color w:val="6B7280"/>
        <w:sz w:val="17"/>
      </w:rPr>
      <w:t>Игорь Полицаев  |  адвокат по банкротству физических лиц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F3A6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F3A6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F3A6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rabochiy spisok kreditorov mfc</dc:title>
  <dc:subject>Внесудебное банкротство через МФЦ</dc:subject>
  <dc:creator>Адвокат Игорь Михайлович Полицаев</dc:creator>
  <cp:keywords>банкротство через МФЦ, внесудебное банкротство, документы</cp:keywords>
  <dc:description>Подготовлено для самостоятельной предварительной работы. Перед подачей сверяйте актуальные формы.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