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</w:pPr>
      <w:r>
        <w:rPr>
          <w:rFonts w:ascii="Arial" w:hAnsi="Arial" w:eastAsia="Arial"/>
          <w:b/>
          <w:i w:val="0"/>
          <w:color w:val="1F3A68"/>
          <w:sz w:val="32"/>
        </w:rPr>
        <w:t>Каркас плана реструктуризации долгов гражданина</w:t>
      </w:r>
    </w:p>
    <w:p>
      <w:pPr>
        <w:spacing w:after="120" w:before="0"/>
      </w:pPr>
      <w:r>
        <w:rPr>
          <w:rFonts w:ascii="Arial" w:hAnsi="Arial" w:eastAsia="Arial"/>
          <w:b w:val="0"/>
          <w:i w:val="0"/>
          <w:color w:val="5D6979"/>
          <w:sz w:val="20"/>
        </w:rPr>
        <w:t>Адвокат Игорь Полицаев (реестровый № 72/1542).</w:t>
      </w:r>
    </w:p>
    <w:p>
      <w:pPr>
        <w:spacing w:after="240" w:before="0"/>
      </w:pPr>
      <w:r>
        <w:rPr>
          <w:rFonts w:ascii="Arial" w:hAnsi="Arial" w:eastAsia="Arial"/>
          <w:b w:val="0"/>
          <w:i w:val="0"/>
          <w:sz w:val="22"/>
        </w:rPr>
        <w:t>Это структура разделов по ст. 213.14, 213.13 и 213.19 127-ФЗ, не готовый план для подачи в суд. Суммы, даты и кредиторы — ваши. Пустые поля не заполняйте выдумкой: лучше прочерк и пометка «уточнить».</w:t>
      </w:r>
    </w:p>
    <w:p>
      <w:pPr>
        <w:spacing w:after="120" w:before="0"/>
      </w:pPr>
      <w:r>
        <w:rPr>
          <w:rFonts w:ascii="Arial" w:hAnsi="Arial" w:eastAsia="Arial"/>
          <w:b/>
          <w:i w:val="0"/>
          <w:color w:val="3362B0"/>
          <w:sz w:val="26"/>
        </w:rPr>
        <w:t>1. Кто представляет план</w:t>
      </w:r>
    </w:p>
    <w:p>
      <w:pPr>
        <w:spacing w:after="80" w:before="0"/>
      </w:pPr>
      <w:r>
        <w:rPr>
          <w:rFonts w:ascii="Arial" w:hAnsi="Arial" w:eastAsia="Arial"/>
          <w:b w:val="0"/>
          <w:i/>
          <w:color w:val="5D6979"/>
          <w:sz w:val="22"/>
        </w:rPr>
        <w:t>Гражданин / конкурсный кредитор / уполномоченный орган (ст. 213.12).</w:t>
      </w:r>
    </w:p>
    <w:p>
      <w:pPr>
        <w:spacing w:after="60" w:before="0"/>
      </w:pPr>
      <w:r>
        <w:rPr>
          <w:rFonts w:ascii="Arial" w:hAnsi="Arial" w:eastAsia="Arial"/>
          <w:b w:val="0"/>
          <w:i w:val="0"/>
          <w:sz w:val="22"/>
        </w:rPr>
        <w:t>ФИО: ____________________    Дата рождения: __________</w:t>
      </w:r>
    </w:p>
    <w:p>
      <w:pPr>
        <w:spacing w:after="160" w:before="0"/>
      </w:pPr>
      <w:r>
        <w:rPr>
          <w:rFonts w:ascii="Arial" w:hAnsi="Arial" w:eastAsia="Arial"/>
          <w:b w:val="0"/>
          <w:i w:val="0"/>
          <w:sz w:val="22"/>
        </w:rPr>
        <w:t>Адрес, ИНН, СНИЛС: ________________________________</w:t>
      </w:r>
    </w:p>
    <w:p>
      <w:pPr>
        <w:spacing w:after="120" w:before="0"/>
      </w:pPr>
      <w:r>
        <w:rPr>
          <w:rFonts w:ascii="Arial" w:hAnsi="Arial" w:eastAsia="Arial"/>
          <w:b/>
          <w:i w:val="0"/>
          <w:color w:val="3362B0"/>
          <w:sz w:val="26"/>
        </w:rPr>
        <w:t>2. Сведения по п. 2 ст. 213.13 (обязательно в тексте плана)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Административные наказания (мелкое хищение, повреждение имущества, фиктивное / преднамеренное банкротство): ____________________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Уголовные и административные дела, неснятая / непогашенная судимость: ____________________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Признание банкротом или исполненный план за 8 лет: ____________________</w:t>
      </w:r>
    </w:p>
    <w:p>
      <w:pPr>
        <w:spacing w:after="120" w:before="0"/>
      </w:pPr>
      <w:r>
        <w:rPr>
          <w:rFonts w:ascii="Arial" w:hAnsi="Arial" w:eastAsia="Arial"/>
          <w:b/>
          <w:i w:val="0"/>
          <w:color w:val="3362B0"/>
          <w:sz w:val="26"/>
        </w:rPr>
        <w:t>3. Кредиторы и суммы</w:t>
      </w:r>
    </w:p>
    <w:p>
      <w:pPr>
        <w:spacing w:after="120" w:before="0"/>
      </w:pPr>
      <w:r>
        <w:rPr>
          <w:rFonts w:ascii="Arial" w:hAnsi="Arial" w:eastAsia="Arial"/>
          <w:b w:val="0"/>
          <w:i/>
          <w:color w:val="5D6979"/>
          <w:sz w:val="22"/>
        </w:rPr>
        <w:t>Погашение пропорционально сумме требований, включённых в план (п. 5 ст. 213.14). Не включаются: вред жизни/здоровью, алименты, зарплата работников, выходные пособия, вознаграждения авторам (п. 4 ст. 213.14) — их вынести отдельным списком.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/>
            <w:r>
              <w:rPr>
                <w:rFonts w:ascii="Arial" w:hAnsi="Arial" w:eastAsia="Arial"/>
                <w:b/>
                <w:i w:val="0"/>
                <w:color w:val="1F3A68"/>
                <w:sz w:val="18"/>
              </w:rPr>
              <w:t>Кредитор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/>
                <w:i w:val="0"/>
                <w:color w:val="1F3A68"/>
                <w:sz w:val="18"/>
              </w:rPr>
              <w:t>Основание (договор, суд)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/>
                <w:i w:val="0"/>
                <w:color w:val="1F3A68"/>
                <w:sz w:val="18"/>
              </w:rPr>
              <w:t>Сумма в реестре, ₽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/>
                <w:i w:val="0"/>
                <w:color w:val="1F3A68"/>
                <w:sz w:val="18"/>
              </w:rPr>
              <w:t>В плане / вне плана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/>
                <w:i w:val="0"/>
                <w:color w:val="1F3A68"/>
                <w:sz w:val="18"/>
              </w:rPr>
              <w:t>Очерёдность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 xml:space="preserve"> </w:t>
            </w:r>
          </w:p>
        </w:tc>
      </w:tr>
    </w:tbl>
    <w:p/>
    <w:p>
      <w:pPr>
        <w:spacing w:after="120" w:before="0"/>
      </w:pPr>
      <w:r>
        <w:rPr>
          <w:rFonts w:ascii="Arial" w:hAnsi="Arial" w:eastAsia="Arial"/>
          <w:b/>
          <w:i w:val="0"/>
          <w:color w:val="3362B0"/>
          <w:sz w:val="26"/>
        </w:rPr>
        <w:t>4. Источники дохода, из которых идут платежи</w:t>
      </w:r>
    </w:p>
    <w:p>
      <w:pPr>
        <w:spacing w:after="160" w:before="0"/>
      </w:pPr>
      <w:r>
        <w:rPr>
          <w:rFonts w:ascii="Arial" w:hAnsi="Arial" w:eastAsia="Arial"/>
          <w:b w:val="0"/>
          <w:i w:val="0"/>
          <w:sz w:val="22"/>
        </w:rPr>
        <w:t>Вид дохода: __________    Сумма в месяц: __________ ₽    Чем подтверждается: __________</w:t>
      </w:r>
    </w:p>
    <w:p>
      <w:pPr>
        <w:spacing w:after="120" w:before="0"/>
      </w:pPr>
      <w:r>
        <w:rPr>
          <w:rFonts w:ascii="Arial" w:hAnsi="Arial" w:eastAsia="Arial"/>
          <w:b/>
          <w:i w:val="0"/>
          <w:color w:val="3362B0"/>
          <w:sz w:val="26"/>
        </w:rPr>
        <w:t>5. Срок и график</w:t>
      </w:r>
    </w:p>
    <w:p>
      <w:pPr>
        <w:spacing w:after="80" w:before="0"/>
      </w:pPr>
      <w:r>
        <w:rPr>
          <w:rFonts w:ascii="Arial" w:hAnsi="Arial" w:eastAsia="Arial"/>
          <w:b w:val="0"/>
          <w:i/>
          <w:color w:val="5D6979"/>
          <w:sz w:val="22"/>
        </w:rPr>
        <w:t>Срок реализации: не более 5 лет; не более 3 лет — если план утверждён по п. 4 ст. 213.17 без одобрения собрания.</w:t>
      </w:r>
    </w:p>
    <w:p>
      <w:pPr>
        <w:spacing w:after="60" w:before="0"/>
      </w:pPr>
      <w:r>
        <w:rPr>
          <w:rFonts w:ascii="Arial" w:hAnsi="Arial" w:eastAsia="Arial"/>
          <w:b w:val="0"/>
          <w:i w:val="0"/>
          <w:sz w:val="22"/>
        </w:rPr>
        <w:t>Дата начала: __________    Дата окончания: __________    Периодичность платежа: ежемесячно / __________</w:t>
      </w:r>
    </w:p>
    <w:p>
      <w:pPr>
        <w:spacing w:after="60" w:before="0"/>
      </w:pPr>
      <w:r>
        <w:rPr>
          <w:rFonts w:ascii="Arial" w:hAnsi="Arial" w:eastAsia="Arial"/>
          <w:b w:val="0"/>
          <w:i w:val="0"/>
          <w:sz w:val="22"/>
        </w:rPr>
        <w:t>Платёж в месяц (все кредиторы плана): __________ ₽</w:t>
      </w:r>
    </w:p>
    <w:p>
      <w:pPr>
        <w:spacing w:after="160" w:before="0"/>
      </w:pPr>
      <w:r>
        <w:rPr>
          <w:rFonts w:ascii="Arial" w:hAnsi="Arial" w:eastAsia="Arial"/>
          <w:b w:val="0"/>
          <w:i w:val="0"/>
          <w:sz w:val="22"/>
        </w:rPr>
        <w:t>Порядок: даты — суммы — кому. Не «как получится», а календарь.</w:t>
      </w:r>
    </w:p>
    <w:p>
      <w:pPr>
        <w:spacing w:after="120" w:before="0"/>
      </w:pPr>
      <w:r>
        <w:rPr>
          <w:rFonts w:ascii="Arial" w:hAnsi="Arial" w:eastAsia="Arial"/>
          <w:b/>
          <w:i w:val="0"/>
          <w:color w:val="3362B0"/>
          <w:sz w:val="26"/>
        </w:rPr>
        <w:t>6. Проценты на требования в плане</w:t>
      </w:r>
    </w:p>
    <w:p>
      <w:pPr>
        <w:spacing w:after="160" w:before="0"/>
      </w:pPr>
      <w:r>
        <w:rPr>
          <w:rFonts w:ascii="Arial" w:hAnsi="Arial" w:eastAsia="Arial"/>
          <w:b w:val="0"/>
          <w:i w:val="0"/>
          <w:sz w:val="22"/>
        </w:rPr>
        <w:t>Ст. 213.19: ставка рефинансирования ЦБ на дату утверждения плана, не договорная ставка банка или МФО. Ставка на дату составления черновика: __________ % (перепроверить на дату утверждения).</w:t>
      </w:r>
    </w:p>
    <w:p>
      <w:pPr>
        <w:spacing w:after="120" w:before="0"/>
      </w:pPr>
      <w:r>
        <w:rPr>
          <w:rFonts w:ascii="Arial" w:hAnsi="Arial" w:eastAsia="Arial"/>
          <w:b/>
          <w:i w:val="0"/>
          <w:color w:val="3362B0"/>
          <w:sz w:val="26"/>
        </w:rPr>
        <w:t>7. Имущество и сделки — для честности плана, не для «спрятать»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Имущество, которым владею: ____________________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Сделки за 3 года (продажа, дарение, раздел): ____________________</w:t>
      </w:r>
    </w:p>
    <w:p>
      <w:pPr>
        <w:spacing w:after="80" w:before="0"/>
      </w:pPr>
      <w:r>
        <w:rPr>
          <w:rFonts w:ascii="Arial" w:hAnsi="Arial" w:eastAsia="Arial"/>
          <w:b w:val="0"/>
          <w:i w:val="0"/>
          <w:sz w:val="22"/>
        </w:rPr>
        <w:t>Сделки свыше 50 000 ₽ в процедуре — только с письменного согласия финансового управляющего.</w:t>
      </w:r>
    </w:p>
    <w:p>
      <w:pPr>
        <w:spacing w:after="120" w:before="0"/>
      </w:pPr>
      <w:r>
        <w:rPr>
          <w:rFonts w:ascii="Arial" w:hAnsi="Arial" w:eastAsia="Arial"/>
          <w:b/>
          <w:i w:val="0"/>
          <w:color w:val="3362B0"/>
          <w:sz w:val="26"/>
        </w:rPr>
        <w:t>8. Подпись</w:t>
      </w:r>
    </w:p>
    <w:p>
      <w:pPr>
        <w:spacing w:after="240" w:before="0"/>
      </w:pPr>
      <w:r>
        <w:rPr>
          <w:rFonts w:ascii="Arial" w:hAnsi="Arial" w:eastAsia="Arial"/>
          <w:b w:val="0"/>
          <w:i w:val="0"/>
          <w:sz w:val="22"/>
        </w:rPr>
        <w:t>Дата: __________     Подпись: __________</w:t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D6979"/>
          <w:sz w:val="20"/>
        </w:rPr>
        <w:t>Шаблон закрывает типовую структуру. Если уже введена реализация имущества или план когда-то утверждался, порядок другой. Дата ориентира: 15 августа 2026.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