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3362B0"/>
          <w:sz w:val="32"/>
        </w:rPr>
        <w:t>Памятка: суд или МФЦ — какой путь списания</w:t>
      </w:r>
    </w:p>
    <w:p>
      <w:r>
        <w:rPr>
          <w:rFonts w:ascii="Times New Roman" w:hAnsi="Times New Roman"/>
          <w:b w:val="0"/>
          <w:i/>
          <w:sz w:val="20"/>
        </w:rPr>
        <w:t>Короткая таблица-подсказка. Итог по обоим путям — списание в рамках Закона № 127-ФЗ. Решение по делу принимает не эта памятка.</w:t>
      </w:r>
    </w:p>
    <w:p>
      <w:r>
        <w:rPr>
          <w:rFonts w:ascii="Times New Roman" w:hAnsi="Times New Roman"/>
          <w:b/>
          <w:color w:val="3362B0"/>
          <w:sz w:val="26"/>
        </w:rPr>
        <w:t>Сравнение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Параметр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Судебное банкротство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Внесудебное (МФЦ)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Сумма долгов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Любая; на практике чаще от 300–500 тыс. ₽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От 25 000 до 1 000 000 ₽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Стоимость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Есть расходы: депозит, публикации, управляющий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Бесплатно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Управляющий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Обязателен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Нет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Основание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Неплатёжеспособность / недостаточность имущества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Строгое основание по ст. 223.2 (напр. оконченное ИП у приставов)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Срок ориентир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Часто 6–10 месяцев и дольше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Ровно 6 месяцев</w:t>
            </w:r>
          </w:p>
        </w:tc>
      </w:tr>
      <w:tr>
        <w:tc>
          <w:tcPr>
            <w:tcW w:type="dxa" w:w="2880"/>
          </w:tcPr>
          <w:p>
            <w:r>
              <w:rPr>
                <w:rFonts w:ascii="Times New Roman" w:hAnsi="Times New Roman"/>
                <w:b/>
                <w:sz w:val="20"/>
              </w:rPr>
              <w:t>Куда подавать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Арбитражный суд</w:t>
            </w:r>
          </w:p>
        </w:tc>
        <w:tc>
          <w:tcPr>
            <w:tcW w:type="dxa" w:w="2880"/>
          </w:tcPr>
          <w:p>
            <w:r>
              <w:rPr>
                <w:rFonts w:ascii="Times New Roman" w:hAnsi="Times New Roman"/>
                <w:b w:val="0"/>
                <w:sz w:val="20"/>
              </w:rPr>
              <w:t>МФЦ по месту жительства/пребывания</w:t>
            </w:r>
          </w:p>
        </w:tc>
      </w:tr>
    </w:tbl>
    <w:p>
      <w:r>
        <w:rPr>
          <w:rFonts w:ascii="Times New Roman" w:hAnsi="Times New Roman"/>
          <w:b/>
          <w:color w:val="3362B0"/>
          <w:sz w:val="26"/>
        </w:rPr>
        <w:t>Быстрая развилка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Если</w:t>
      </w:r>
      <w:r>
        <w:rPr>
          <w:rFonts w:ascii="Times New Roman" w:hAnsi="Times New Roman"/>
          <w:b w:val="0"/>
          <w:sz w:val="22"/>
        </w:rPr>
        <w:t xml:space="preserve"> долг больше 1 млн ₽ или нет основания для МФЦ — смотрите судебный путь.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Если</w:t>
      </w:r>
      <w:r>
        <w:rPr>
          <w:rFonts w:ascii="Times New Roman" w:hAnsi="Times New Roman"/>
          <w:b w:val="0"/>
          <w:sz w:val="22"/>
        </w:rPr>
        <w:t xml:space="preserve"> долг в коридоре 25 тыс.–1 млн ₽ и есть подходящее основание — сначала проверяйте МФЦ.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Если</w:t>
      </w:r>
      <w:r>
        <w:rPr>
          <w:rFonts w:ascii="Times New Roman" w:hAnsi="Times New Roman"/>
          <w:b w:val="0"/>
          <w:sz w:val="22"/>
        </w:rPr>
        <w:t xml:space="preserve"> список долгов неполный или имущество/сделки спорные — не подавайтесь «наугад»: ошибка в заявлении дорого стоит.</w:t>
      </w:r>
    </w:p>
    <w:p>
      <w:r>
        <w:rPr>
          <w:rFonts w:ascii="Times New Roman" w:hAnsi="Times New Roman"/>
          <w:b w:val="0"/>
          <w:i/>
          <w:sz w:val="20"/>
        </w:rPr>
        <w:t>Подробнее: статья «Банкротство через МФЦ» и пошаговая инструкция по судебному банкротству на сайте. Нормы и суммы сверяйте по актуальной редакции 127-ФЗ.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